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B59D1" w14:textId="1D1472D6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E455B4">
        <w:rPr>
          <w:rFonts w:ascii="Arial" w:hAnsi="Arial" w:cs="Arial"/>
          <w:b/>
          <w:sz w:val="24"/>
          <w:szCs w:val="24"/>
          <w:lang w:eastAsia="zh-CN"/>
        </w:rPr>
        <w:t>1</w:t>
      </w:r>
      <w:r w:rsidR="00CD2E63">
        <w:rPr>
          <w:rFonts w:ascii="Arial" w:hAnsi="Arial" w:cs="Arial"/>
          <w:b/>
          <w:sz w:val="24"/>
          <w:szCs w:val="24"/>
          <w:lang w:eastAsia="zh-CN"/>
        </w:rPr>
        <w:t>10bis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454001" w:rsidRPr="00454001">
        <w:rPr>
          <w:rFonts w:ascii="Arial" w:eastAsia="MS Mincho" w:hAnsi="Arial" w:cs="Arial"/>
          <w:b/>
          <w:sz w:val="24"/>
          <w:szCs w:val="24"/>
        </w:rPr>
        <w:t>R4-2</w:t>
      </w:r>
      <w:r w:rsidR="00CD2E63">
        <w:rPr>
          <w:rFonts w:ascii="Arial" w:eastAsia="MS Mincho" w:hAnsi="Arial" w:cs="Arial"/>
          <w:b/>
          <w:sz w:val="24"/>
          <w:szCs w:val="24"/>
        </w:rPr>
        <w:t>405995</w:t>
      </w:r>
    </w:p>
    <w:p w14:paraId="0ED16545" w14:textId="459C6767" w:rsidR="0068254F" w:rsidRPr="00881E60" w:rsidRDefault="00CD2E63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CD2E63">
        <w:rPr>
          <w:rFonts w:ascii="Arial" w:hAnsi="Arial"/>
          <w:b/>
          <w:sz w:val="24"/>
          <w:szCs w:val="24"/>
          <w:lang w:eastAsia="zh-CN"/>
        </w:rPr>
        <w:t>Changsha, China, April 15 – April 19, 2024</w:t>
      </w:r>
    </w:p>
    <w:p w14:paraId="1226C057" w14:textId="3F6BD86B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A8285A" w:rsidRPr="00A8285A">
        <w:rPr>
          <w:rFonts w:ascii="Arial" w:hAnsi="Arial" w:cs="Arial"/>
          <w:sz w:val="22"/>
          <w:lang w:eastAsia="zh-CN"/>
        </w:rPr>
        <w:t>Way Forward for [110bis][305] NR_NTN_enh_Part1 Doppler pre</w:t>
      </w:r>
      <w:r w:rsidR="00FC4640">
        <w:rPr>
          <w:rFonts w:ascii="Arial" w:hAnsi="Arial" w:cs="Arial"/>
          <w:sz w:val="22"/>
          <w:lang w:eastAsia="zh-CN"/>
        </w:rPr>
        <w:t>-</w:t>
      </w:r>
      <w:r w:rsidR="00A8285A" w:rsidRPr="00A8285A">
        <w:rPr>
          <w:rFonts w:ascii="Arial" w:hAnsi="Arial" w:cs="Arial"/>
          <w:sz w:val="22"/>
          <w:lang w:eastAsia="zh-CN"/>
        </w:rPr>
        <w:t>compensation into the guard band</w:t>
      </w:r>
    </w:p>
    <w:p w14:paraId="73AD8CE3" w14:textId="340E8D97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A01CD4">
        <w:rPr>
          <w:rFonts w:ascii="Arial" w:hAnsi="Arial" w:cs="Arial"/>
          <w:sz w:val="22"/>
          <w:lang w:eastAsia="zh-CN"/>
        </w:rPr>
        <w:t>6</w:t>
      </w:r>
      <w:r w:rsidR="00E455B4">
        <w:rPr>
          <w:rFonts w:ascii="Arial" w:hAnsi="Arial" w:cs="Arial"/>
          <w:sz w:val="22"/>
          <w:lang w:eastAsia="zh-CN"/>
        </w:rPr>
        <w:t>.</w:t>
      </w:r>
      <w:r w:rsidR="00454001">
        <w:rPr>
          <w:rFonts w:ascii="Arial" w:hAnsi="Arial" w:cs="Arial"/>
          <w:sz w:val="22"/>
          <w:lang w:eastAsia="zh-CN"/>
        </w:rPr>
        <w:t>1</w:t>
      </w:r>
      <w:r w:rsidR="00A01CD4">
        <w:rPr>
          <w:rFonts w:ascii="Arial" w:hAnsi="Arial" w:cs="Arial"/>
          <w:sz w:val="22"/>
          <w:lang w:eastAsia="zh-CN"/>
        </w:rPr>
        <w:t>6</w:t>
      </w:r>
      <w:r w:rsidR="00E455B4">
        <w:rPr>
          <w:rFonts w:ascii="Arial" w:hAnsi="Arial" w:cs="Arial"/>
          <w:sz w:val="22"/>
          <w:lang w:eastAsia="zh-CN"/>
        </w:rPr>
        <w:t>.</w:t>
      </w:r>
      <w:r w:rsidR="00A01CD4">
        <w:rPr>
          <w:rFonts w:ascii="Arial" w:hAnsi="Arial" w:cs="Arial"/>
          <w:sz w:val="22"/>
          <w:lang w:eastAsia="zh-CN"/>
        </w:rPr>
        <w:t>9</w:t>
      </w:r>
    </w:p>
    <w:p w14:paraId="6402E503" w14:textId="055BF0C1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E455B4" w:rsidRPr="00E455B4">
        <w:rPr>
          <w:rFonts w:ascii="Arial" w:hAnsi="Arial" w:cs="Arial"/>
          <w:b/>
          <w:sz w:val="22"/>
        </w:rPr>
        <w:t>Huawei</w:t>
      </w:r>
      <w:r w:rsidR="00CD2E63">
        <w:rPr>
          <w:rFonts w:ascii="Arial" w:hAnsi="Arial" w:cs="Arial"/>
          <w:b/>
          <w:sz w:val="22"/>
        </w:rPr>
        <w:t>, Thales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7A62FAB5" w:rsidR="00EF3FF4" w:rsidRDefault="002205C9" w:rsidP="003E08FC">
      <w:pPr>
        <w:pStyle w:val="1"/>
      </w:pPr>
      <w:r>
        <w:t>Introduction</w:t>
      </w:r>
    </w:p>
    <w:p w14:paraId="674F8C77" w14:textId="11AD95D5" w:rsidR="002205C9" w:rsidRDefault="00A01CD4" w:rsidP="002205C9">
      <w:pPr>
        <w:rPr>
          <w:rFonts w:eastAsiaTheme="minorEastAsia"/>
          <w:b/>
          <w:lang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the RAN4#110 meeting, although the draft big CR [1] was endorsed in RAN4#110 meeting, </w:t>
      </w:r>
      <w:r w:rsidR="00320F53" w:rsidRPr="00320F53">
        <w:rPr>
          <w:rFonts w:eastAsia="宋体"/>
          <w:lang w:val="en-US" w:eastAsia="zh-CN"/>
        </w:rPr>
        <w:t>Doppler pre-compensation</w:t>
      </w:r>
      <w:r>
        <w:rPr>
          <w:rFonts w:eastAsia="宋体"/>
          <w:lang w:val="en-US" w:eastAsia="zh-CN"/>
        </w:rPr>
        <w:t xml:space="preserve"> issues were not extensively discussed</w:t>
      </w:r>
      <w:r w:rsidR="00576688">
        <w:rPr>
          <w:rFonts w:eastAsia="宋体"/>
          <w:lang w:val="en-US" w:eastAsia="zh-CN"/>
        </w:rPr>
        <w:t xml:space="preserve"> for FR2-NTN UE</w:t>
      </w:r>
      <w:r>
        <w:rPr>
          <w:rFonts w:eastAsia="宋体"/>
          <w:lang w:val="en-US" w:eastAsia="zh-CN"/>
        </w:rPr>
        <w:t>.</w:t>
      </w:r>
      <w:r w:rsidR="002205C9">
        <w:rPr>
          <w:rFonts w:eastAsia="宋体"/>
          <w:lang w:val="en-US" w:eastAsia="zh-CN"/>
        </w:rPr>
        <w:t xml:space="preserve"> In RAN4#110-bis, Issue 1-2-1 from </w:t>
      </w:r>
      <w:r w:rsidR="00E22FB5">
        <w:rPr>
          <w:rFonts w:eastAsia="宋体"/>
          <w:lang w:val="en-US" w:eastAsia="zh-CN"/>
        </w:rPr>
        <w:t>Moderator summary</w:t>
      </w:r>
      <w:r w:rsidR="002205C9">
        <w:rPr>
          <w:rFonts w:eastAsia="宋体"/>
          <w:lang w:val="en-US" w:eastAsia="zh-CN"/>
        </w:rPr>
        <w:t>R4-2405825 has been identified</w:t>
      </w:r>
      <w:r w:rsidR="00E22FB5">
        <w:rPr>
          <w:rFonts w:eastAsia="宋体"/>
          <w:lang w:val="en-US" w:eastAsia="zh-CN"/>
        </w:rPr>
        <w:t xml:space="preserve"> [2]</w:t>
      </w:r>
      <w:r w:rsidR="00576688">
        <w:rPr>
          <w:rFonts w:eastAsia="宋体"/>
          <w:lang w:val="en-US" w:eastAsia="zh-CN"/>
        </w:rPr>
        <w:t xml:space="preserve"> </w:t>
      </w:r>
      <w:bookmarkStart w:id="0" w:name="_GoBack"/>
      <w:bookmarkEnd w:id="0"/>
      <w:r w:rsidR="002205C9">
        <w:rPr>
          <w:rFonts w:eastAsiaTheme="minorEastAsia"/>
          <w:b/>
          <w:lang w:eastAsia="zh-CN"/>
        </w:rPr>
        <w:t xml:space="preserve">that </w:t>
      </w:r>
      <w:r w:rsidR="002205C9" w:rsidRPr="00A83901">
        <w:rPr>
          <w:rFonts w:eastAsiaTheme="minorEastAsia"/>
          <w:b/>
          <w:lang w:eastAsia="zh-CN"/>
        </w:rPr>
        <w:t xml:space="preserve">Edge RB </w:t>
      </w:r>
      <w:r w:rsidR="002205C9">
        <w:rPr>
          <w:rFonts w:eastAsiaTheme="minorEastAsia"/>
          <w:b/>
          <w:lang w:eastAsia="zh-CN"/>
        </w:rPr>
        <w:t>allocated to Ka band NTN UE may fall</w:t>
      </w:r>
      <w:r w:rsidR="002205C9" w:rsidRPr="00A83901">
        <w:rPr>
          <w:rFonts w:eastAsiaTheme="minorEastAsia"/>
          <w:b/>
          <w:lang w:eastAsia="zh-CN"/>
        </w:rPr>
        <w:t xml:space="preserve"> into Guard band due to </w:t>
      </w:r>
      <w:r w:rsidR="002205C9">
        <w:rPr>
          <w:rFonts w:eastAsiaTheme="minorEastAsia"/>
          <w:b/>
          <w:lang w:eastAsia="zh-CN"/>
        </w:rPr>
        <w:t xml:space="preserve">UE </w:t>
      </w:r>
      <w:r w:rsidR="002205C9" w:rsidRPr="00A83901">
        <w:rPr>
          <w:rFonts w:eastAsiaTheme="minorEastAsia"/>
          <w:b/>
          <w:lang w:eastAsia="zh-CN"/>
        </w:rPr>
        <w:t>Doppler pre-compensation</w:t>
      </w:r>
      <w:r w:rsidR="002205C9">
        <w:rPr>
          <w:rFonts w:eastAsiaTheme="minorEastAsia"/>
          <w:b/>
          <w:lang w:eastAsia="zh-CN"/>
        </w:rPr>
        <w:t>.</w:t>
      </w:r>
    </w:p>
    <w:p w14:paraId="7A3DD61B" w14:textId="573DEB2A" w:rsidR="00B442A4" w:rsidRDefault="00B442A4" w:rsidP="002205C9">
      <w:pPr>
        <w:rPr>
          <w:rFonts w:eastAsiaTheme="minorEastAsia"/>
          <w:b/>
          <w:lang w:eastAsia="zh-CN"/>
        </w:rPr>
      </w:pPr>
      <w:r w:rsidRPr="000C3DDA">
        <w:rPr>
          <w:rFonts w:eastAsiaTheme="minorEastAsia"/>
          <w:bCs/>
          <w:lang w:eastAsia="zh-CN"/>
        </w:rPr>
        <w:t>RAN4 can further discuss</w:t>
      </w:r>
      <w:r w:rsidR="00E22FB5">
        <w:rPr>
          <w:rFonts w:eastAsiaTheme="minorEastAsia"/>
          <w:bCs/>
          <w:lang w:eastAsia="zh-CN"/>
        </w:rPr>
        <w:t xml:space="preserve"> this issue</w:t>
      </w:r>
      <w:r w:rsidRPr="000C3DDA">
        <w:rPr>
          <w:rFonts w:eastAsiaTheme="minorEastAsia"/>
          <w:bCs/>
          <w:lang w:eastAsia="zh-CN"/>
        </w:rPr>
        <w:t>.</w:t>
      </w:r>
      <w:r w:rsidR="00E22FB5">
        <w:rPr>
          <w:rFonts w:eastAsiaTheme="minorEastAsia"/>
          <w:bCs/>
          <w:lang w:eastAsia="zh-CN"/>
        </w:rPr>
        <w:t xml:space="preserve"> One consideration is to leave it to implementation, but other solutions are not precluded.</w:t>
      </w:r>
    </w:p>
    <w:p w14:paraId="43F52283" w14:textId="77777777" w:rsidR="00CB600F" w:rsidRDefault="00CB600F" w:rsidP="00CB600F">
      <w:pPr>
        <w:pStyle w:val="1"/>
      </w:pPr>
      <w:r>
        <w:t>Way forward</w:t>
      </w:r>
    </w:p>
    <w:p w14:paraId="5118E173" w14:textId="69BE92A6" w:rsidR="002205C9" w:rsidRPr="000C3DDA" w:rsidRDefault="00B442A4" w:rsidP="00CB600F">
      <w:pPr>
        <w:rPr>
          <w:rFonts w:eastAsiaTheme="minorEastAsia"/>
          <w:bCs/>
          <w:lang w:eastAsia="zh-CN"/>
        </w:rPr>
      </w:pPr>
      <w:r w:rsidRPr="000C3DDA">
        <w:rPr>
          <w:rFonts w:eastAsiaTheme="minorEastAsia"/>
          <w:bCs/>
          <w:lang w:eastAsia="zh-CN"/>
        </w:rPr>
        <w:t>Further discuss if extra guard-band is required/should be specified when VSAT UE is pre-compensating Doppler.</w:t>
      </w:r>
    </w:p>
    <w:p w14:paraId="01F29832" w14:textId="62F07B27" w:rsidR="00A01CD4" w:rsidRDefault="00A01CD4" w:rsidP="00A01CD4">
      <w:pPr>
        <w:pStyle w:val="1"/>
      </w:pPr>
      <w:r>
        <w:t>Reference</w:t>
      </w:r>
    </w:p>
    <w:p w14:paraId="323571CB" w14:textId="40D8F197" w:rsidR="00E455B4" w:rsidRDefault="00A01CD4" w:rsidP="003E08FC">
      <w:pPr>
        <w:rPr>
          <w:lang w:val="en-US" w:eastAsia="zh-CN"/>
        </w:rPr>
      </w:pPr>
      <w:r w:rsidRPr="00A01CD4">
        <w:rPr>
          <w:lang w:val="en-US" w:eastAsia="zh-CN"/>
        </w:rPr>
        <w:t>[1] R4-2401116, Big CR on TS38.101-5 for UE RF Requirements, Samsung Electronics France SA</w:t>
      </w:r>
    </w:p>
    <w:p w14:paraId="6ECF485B" w14:textId="64A470ED" w:rsidR="00576688" w:rsidRDefault="00576688" w:rsidP="003E08FC">
      <w:pPr>
        <w:rPr>
          <w:lang w:val="en-US" w:eastAsia="zh-CN"/>
        </w:rPr>
      </w:pPr>
      <w:r>
        <w:rPr>
          <w:lang w:val="en-US" w:eastAsia="zh-CN"/>
        </w:rPr>
        <w:t xml:space="preserve">[2] </w:t>
      </w:r>
      <w:r w:rsidRPr="00576688">
        <w:rPr>
          <w:lang w:val="en-US" w:eastAsia="zh-CN"/>
        </w:rPr>
        <w:t>R4-2405340</w:t>
      </w:r>
      <w:r>
        <w:rPr>
          <w:lang w:val="en-US" w:eastAsia="zh-CN"/>
        </w:rPr>
        <w:t xml:space="preserve">, </w:t>
      </w:r>
      <w:r w:rsidRPr="00576688">
        <w:rPr>
          <w:lang w:val="en-US" w:eastAsia="zh-CN"/>
        </w:rPr>
        <w:t>Doppler shift issues for guard band and transmission bandwidth configuration</w:t>
      </w:r>
      <w:r>
        <w:rPr>
          <w:lang w:val="en-US" w:eastAsia="zh-CN"/>
        </w:rPr>
        <w:t xml:space="preserve">, </w:t>
      </w:r>
      <w:r w:rsidRPr="00576688">
        <w:rPr>
          <w:lang w:val="en-US" w:eastAsia="zh-CN"/>
        </w:rPr>
        <w:t>Huawei,</w:t>
      </w:r>
      <w:r>
        <w:rPr>
          <w:lang w:val="en-US" w:eastAsia="zh-CN"/>
        </w:rPr>
        <w:t xml:space="preserve"> HiSilicon</w:t>
      </w:r>
    </w:p>
    <w:p w14:paraId="4AF1E72F" w14:textId="32D5D59D" w:rsidR="003172B4" w:rsidRPr="00A01CD4" w:rsidRDefault="003172B4" w:rsidP="003E08FC">
      <w:pPr>
        <w:rPr>
          <w:lang w:val="en-US" w:eastAsia="zh-CN"/>
        </w:rPr>
      </w:pPr>
    </w:p>
    <w:sectPr w:rsidR="003172B4" w:rsidRPr="00A01CD4" w:rsidSect="00B50441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24373D" w14:textId="77777777" w:rsidR="002238DA" w:rsidRPr="00A10429" w:rsidRDefault="002238DA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80FF7ED" w14:textId="77777777" w:rsidR="002238DA" w:rsidRPr="00A10429" w:rsidRDefault="002238DA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149C54" w14:textId="77777777" w:rsidR="002238DA" w:rsidRPr="00A10429" w:rsidRDefault="002238DA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8C2E733" w14:textId="77777777" w:rsidR="002238DA" w:rsidRPr="00A10429" w:rsidRDefault="002238DA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1F2337"/>
    <w:multiLevelType w:val="hybridMultilevel"/>
    <w:tmpl w:val="B19090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E00D81"/>
    <w:multiLevelType w:val="hybridMultilevel"/>
    <w:tmpl w:val="A32079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4"/>
  </w:num>
  <w:num w:numId="3">
    <w:abstractNumId w:val="24"/>
  </w:num>
  <w:num w:numId="4">
    <w:abstractNumId w:val="13"/>
  </w:num>
  <w:num w:numId="5">
    <w:abstractNumId w:val="6"/>
  </w:num>
  <w:num w:numId="6">
    <w:abstractNumId w:val="19"/>
  </w:num>
  <w:num w:numId="7">
    <w:abstractNumId w:val="5"/>
  </w:num>
  <w:num w:numId="8">
    <w:abstractNumId w:val="18"/>
  </w:num>
  <w:num w:numId="9">
    <w:abstractNumId w:val="25"/>
  </w:num>
  <w:num w:numId="10">
    <w:abstractNumId w:val="25"/>
  </w:num>
  <w:num w:numId="11">
    <w:abstractNumId w:val="1"/>
  </w:num>
  <w:num w:numId="12">
    <w:abstractNumId w:val="9"/>
  </w:num>
  <w:num w:numId="13">
    <w:abstractNumId w:val="8"/>
  </w:num>
  <w:num w:numId="14">
    <w:abstractNumId w:val="23"/>
  </w:num>
  <w:num w:numId="15">
    <w:abstractNumId w:val="25"/>
  </w:num>
  <w:num w:numId="16">
    <w:abstractNumId w:val="25"/>
  </w:num>
  <w:num w:numId="17">
    <w:abstractNumId w:val="17"/>
  </w:num>
  <w:num w:numId="18">
    <w:abstractNumId w:val="26"/>
  </w:num>
  <w:num w:numId="19">
    <w:abstractNumId w:val="25"/>
  </w:num>
  <w:num w:numId="20">
    <w:abstractNumId w:val="7"/>
  </w:num>
  <w:num w:numId="21">
    <w:abstractNumId w:val="25"/>
  </w:num>
  <w:num w:numId="22">
    <w:abstractNumId w:val="25"/>
  </w:num>
  <w:num w:numId="23">
    <w:abstractNumId w:val="10"/>
  </w:num>
  <w:num w:numId="24">
    <w:abstractNumId w:val="3"/>
  </w:num>
  <w:num w:numId="25">
    <w:abstractNumId w:val="0"/>
  </w:num>
  <w:num w:numId="26">
    <w:abstractNumId w:val="11"/>
  </w:num>
  <w:num w:numId="27">
    <w:abstractNumId w:val="12"/>
  </w:num>
  <w:num w:numId="28">
    <w:abstractNumId w:val="20"/>
  </w:num>
  <w:num w:numId="29">
    <w:abstractNumId w:val="21"/>
  </w:num>
  <w:num w:numId="30">
    <w:abstractNumId w:val="16"/>
  </w:num>
  <w:num w:numId="31">
    <w:abstractNumId w:val="15"/>
  </w:num>
  <w:num w:numId="32">
    <w:abstractNumId w:val="22"/>
  </w:num>
  <w:num w:numId="33">
    <w:abstractNumId w:val="2"/>
  </w:num>
  <w:num w:numId="34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bordersDoNotSurroundHeader/>
  <w:bordersDoNotSurroundFooter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335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39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3DDA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702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483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A0F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5C9"/>
    <w:rsid w:val="0022200D"/>
    <w:rsid w:val="00222346"/>
    <w:rsid w:val="00222BE2"/>
    <w:rsid w:val="00223700"/>
    <w:rsid w:val="002238DA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0BA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939"/>
    <w:rsid w:val="00292A7A"/>
    <w:rsid w:val="0029566F"/>
    <w:rsid w:val="00295A8F"/>
    <w:rsid w:val="00295B68"/>
    <w:rsid w:val="002A001C"/>
    <w:rsid w:val="002A0146"/>
    <w:rsid w:val="002A02B7"/>
    <w:rsid w:val="002A0599"/>
    <w:rsid w:val="002A0B6F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93E"/>
    <w:rsid w:val="002E5B82"/>
    <w:rsid w:val="002E5DEC"/>
    <w:rsid w:val="002E6047"/>
    <w:rsid w:val="002E65EA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2B4"/>
    <w:rsid w:val="00317689"/>
    <w:rsid w:val="0031772E"/>
    <w:rsid w:val="003205B2"/>
    <w:rsid w:val="003205DD"/>
    <w:rsid w:val="00320760"/>
    <w:rsid w:val="00320F53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804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1D5C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207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01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6688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43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02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662B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5E46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1FE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5FA2"/>
    <w:rsid w:val="007A6026"/>
    <w:rsid w:val="007A798B"/>
    <w:rsid w:val="007A7F62"/>
    <w:rsid w:val="007B043E"/>
    <w:rsid w:val="007B10C8"/>
    <w:rsid w:val="007B260E"/>
    <w:rsid w:val="007B3759"/>
    <w:rsid w:val="007B757F"/>
    <w:rsid w:val="007B75EA"/>
    <w:rsid w:val="007B7840"/>
    <w:rsid w:val="007C0182"/>
    <w:rsid w:val="007C1502"/>
    <w:rsid w:val="007C1B39"/>
    <w:rsid w:val="007C225A"/>
    <w:rsid w:val="007C2FDE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52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E69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1F43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4C49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B81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CD4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85A"/>
    <w:rsid w:val="00A82A80"/>
    <w:rsid w:val="00A82AAD"/>
    <w:rsid w:val="00A82D89"/>
    <w:rsid w:val="00A82FD6"/>
    <w:rsid w:val="00A8301C"/>
    <w:rsid w:val="00A8350F"/>
    <w:rsid w:val="00A83901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45D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2A4"/>
    <w:rsid w:val="00B448DC"/>
    <w:rsid w:val="00B455A2"/>
    <w:rsid w:val="00B4663B"/>
    <w:rsid w:val="00B47976"/>
    <w:rsid w:val="00B50063"/>
    <w:rsid w:val="00B50441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3D3E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00F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E63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324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4A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2FB5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5B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18AF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20E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2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4640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3E08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3E08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E08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E08FC"/>
    <w:pPr>
      <w:outlineLvl w:val="5"/>
    </w:pPr>
  </w:style>
  <w:style w:type="paragraph" w:styleId="7">
    <w:name w:val="heading 7"/>
    <w:basedOn w:val="H6"/>
    <w:next w:val="a"/>
    <w:link w:val="7Char"/>
    <w:qFormat/>
    <w:rsid w:val="003E08FC"/>
    <w:pPr>
      <w:outlineLvl w:val="6"/>
    </w:pPr>
  </w:style>
  <w:style w:type="paragraph" w:styleId="8">
    <w:name w:val="heading 8"/>
    <w:basedOn w:val="1"/>
    <w:next w:val="a"/>
    <w:link w:val="8Char"/>
    <w:qFormat/>
    <w:rsid w:val="003E08F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E08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"/>
    <w:next w:val="a"/>
    <w:link w:val="Char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0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0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2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2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3"/>
    <w:rsid w:val="003E08FC"/>
    <w:pPr>
      <w:jc w:val="center"/>
    </w:pPr>
    <w:rPr>
      <w:i/>
    </w:rPr>
  </w:style>
  <w:style w:type="character" w:customStyle="1" w:styleId="Char3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4"/>
    <w:uiPriority w:val="99"/>
    <w:semiHidden/>
    <w:unhideWhenUsed/>
    <w:rsid w:val="004B3A83"/>
    <w:pPr>
      <w:ind w:leftChars="2500" w:left="100"/>
    </w:pPr>
  </w:style>
  <w:style w:type="character" w:customStyle="1" w:styleId="Char4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"/>
    <w:basedOn w:val="a"/>
    <w:link w:val="Char5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3E08FC"/>
    <w:pPr>
      <w:spacing w:before="180"/>
      <w:ind w:left="2693" w:hanging="2693"/>
    </w:pPr>
    <w:rPr>
      <w:b/>
    </w:rPr>
  </w:style>
  <w:style w:type="paragraph" w:styleId="10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3E08FC"/>
    <w:pPr>
      <w:ind w:left="1701" w:hanging="1701"/>
    </w:pPr>
  </w:style>
  <w:style w:type="paragraph" w:styleId="40">
    <w:name w:val="toc 4"/>
    <w:basedOn w:val="30"/>
    <w:semiHidden/>
    <w:rsid w:val="003E08FC"/>
    <w:pPr>
      <w:ind w:left="1418" w:hanging="1418"/>
    </w:pPr>
  </w:style>
  <w:style w:type="paragraph" w:styleId="30">
    <w:name w:val="toc 3"/>
    <w:basedOn w:val="20"/>
    <w:semiHidden/>
    <w:rsid w:val="003E08FC"/>
    <w:pPr>
      <w:ind w:left="1134" w:hanging="1134"/>
    </w:pPr>
  </w:style>
  <w:style w:type="paragraph" w:styleId="20">
    <w:name w:val="toc 2"/>
    <w:basedOn w:val="10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E08FC"/>
    <w:pPr>
      <w:ind w:left="284"/>
    </w:pPr>
  </w:style>
  <w:style w:type="paragraph" w:styleId="11">
    <w:name w:val="index 1"/>
    <w:basedOn w:val="a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E08FC"/>
    <w:pPr>
      <w:outlineLvl w:val="9"/>
    </w:pPr>
  </w:style>
  <w:style w:type="paragraph" w:styleId="22">
    <w:name w:val="List Number 2"/>
    <w:basedOn w:val="ac"/>
    <w:semiHidden/>
    <w:rsid w:val="003E08FC"/>
    <w:pPr>
      <w:ind w:left="851"/>
    </w:pPr>
  </w:style>
  <w:style w:type="character" w:styleId="ad">
    <w:name w:val="footnote reference"/>
    <w:basedOn w:val="a0"/>
    <w:semiHidden/>
    <w:rsid w:val="003E08FC"/>
    <w:rPr>
      <w:b/>
      <w:position w:val="6"/>
      <w:sz w:val="16"/>
    </w:rPr>
  </w:style>
  <w:style w:type="paragraph" w:styleId="ae">
    <w:name w:val="footnote text"/>
    <w:basedOn w:val="a"/>
    <w:link w:val="Char6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a"/>
    <w:rsid w:val="003E08FC"/>
    <w:pPr>
      <w:keepLines/>
      <w:ind w:left="1135" w:hanging="851"/>
    </w:pPr>
  </w:style>
  <w:style w:type="paragraph" w:styleId="90">
    <w:name w:val="toc 9"/>
    <w:basedOn w:val="80"/>
    <w:semiHidden/>
    <w:rsid w:val="003E08FC"/>
    <w:pPr>
      <w:ind w:left="1418" w:hanging="1418"/>
    </w:pPr>
  </w:style>
  <w:style w:type="paragraph" w:customStyle="1" w:styleId="EX">
    <w:name w:val="EX"/>
    <w:basedOn w:val="a"/>
    <w:rsid w:val="003E08FC"/>
    <w:pPr>
      <w:keepLines/>
      <w:ind w:left="1702" w:hanging="1418"/>
    </w:pPr>
  </w:style>
  <w:style w:type="paragraph" w:customStyle="1" w:styleId="FP">
    <w:name w:val="FP"/>
    <w:basedOn w:val="a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60">
    <w:name w:val="toc 6"/>
    <w:basedOn w:val="50"/>
    <w:next w:val="a"/>
    <w:semiHidden/>
    <w:rsid w:val="003E08FC"/>
    <w:pPr>
      <w:ind w:left="1985" w:hanging="1985"/>
    </w:pPr>
  </w:style>
  <w:style w:type="paragraph" w:styleId="70">
    <w:name w:val="toc 7"/>
    <w:basedOn w:val="60"/>
    <w:next w:val="a"/>
    <w:semiHidden/>
    <w:rsid w:val="003E08FC"/>
    <w:pPr>
      <w:ind w:left="2268" w:hanging="2268"/>
    </w:pPr>
  </w:style>
  <w:style w:type="paragraph" w:styleId="23">
    <w:name w:val="List Bullet 2"/>
    <w:basedOn w:val="af"/>
    <w:semiHidden/>
    <w:rsid w:val="003E08FC"/>
    <w:pPr>
      <w:ind w:left="851"/>
    </w:pPr>
  </w:style>
  <w:style w:type="paragraph" w:styleId="31">
    <w:name w:val="List Bullet 3"/>
    <w:basedOn w:val="23"/>
    <w:semiHidden/>
    <w:rsid w:val="003E08FC"/>
    <w:pPr>
      <w:ind w:left="1135"/>
    </w:pPr>
  </w:style>
  <w:style w:type="paragraph" w:styleId="ac">
    <w:name w:val="List Number"/>
    <w:basedOn w:val="af0"/>
    <w:semiHidden/>
    <w:rsid w:val="003E08FC"/>
  </w:style>
  <w:style w:type="paragraph" w:customStyle="1" w:styleId="EQ">
    <w:name w:val="EQ"/>
    <w:basedOn w:val="a"/>
    <w:next w:val="a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5"/>
    <w:next w:val="a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24">
    <w:name w:val="List 2"/>
    <w:basedOn w:val="af0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3E08FC"/>
    <w:pPr>
      <w:ind w:left="1135"/>
    </w:pPr>
  </w:style>
  <w:style w:type="paragraph" w:styleId="41">
    <w:name w:val="List 4"/>
    <w:basedOn w:val="32"/>
    <w:semiHidden/>
    <w:rsid w:val="003E08FC"/>
    <w:pPr>
      <w:ind w:left="1418"/>
    </w:pPr>
  </w:style>
  <w:style w:type="paragraph" w:styleId="51">
    <w:name w:val="List 5"/>
    <w:basedOn w:val="41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af0">
    <w:name w:val="List"/>
    <w:basedOn w:val="a"/>
    <w:semiHidden/>
    <w:rsid w:val="003E08FC"/>
    <w:pPr>
      <w:ind w:left="568" w:hanging="284"/>
    </w:pPr>
  </w:style>
  <w:style w:type="paragraph" w:styleId="af">
    <w:name w:val="List Bullet"/>
    <w:basedOn w:val="af0"/>
    <w:semiHidden/>
    <w:rsid w:val="003E08FC"/>
  </w:style>
  <w:style w:type="paragraph" w:styleId="42">
    <w:name w:val="List Bullet 4"/>
    <w:basedOn w:val="31"/>
    <w:semiHidden/>
    <w:rsid w:val="003E08FC"/>
    <w:pPr>
      <w:ind w:left="1418"/>
    </w:pPr>
  </w:style>
  <w:style w:type="paragraph" w:styleId="52">
    <w:name w:val="List Bullet 5"/>
    <w:basedOn w:val="42"/>
    <w:semiHidden/>
    <w:rsid w:val="003E08FC"/>
    <w:pPr>
      <w:ind w:left="1702"/>
    </w:pPr>
  </w:style>
  <w:style w:type="paragraph" w:customStyle="1" w:styleId="B1">
    <w:name w:val="B1"/>
    <w:basedOn w:val="af0"/>
    <w:link w:val="B1Char"/>
    <w:qFormat/>
    <w:rsid w:val="003E08FC"/>
  </w:style>
  <w:style w:type="paragraph" w:customStyle="1" w:styleId="B2">
    <w:name w:val="B2"/>
    <w:basedOn w:val="24"/>
    <w:link w:val="B2Char"/>
    <w:qFormat/>
    <w:rsid w:val="003E08FC"/>
  </w:style>
  <w:style w:type="paragraph" w:customStyle="1" w:styleId="B3">
    <w:name w:val="B3"/>
    <w:basedOn w:val="32"/>
    <w:rsid w:val="003E08FC"/>
  </w:style>
  <w:style w:type="paragraph" w:customStyle="1" w:styleId="B4">
    <w:name w:val="B4"/>
    <w:basedOn w:val="41"/>
    <w:rsid w:val="003E08FC"/>
  </w:style>
  <w:style w:type="paragraph" w:customStyle="1" w:styleId="B5">
    <w:name w:val="B5"/>
    <w:basedOn w:val="51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a"/>
    <w:uiPriority w:val="34"/>
    <w:qFormat/>
    <w:locked/>
    <w:rsid w:val="00E455B4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D614A5"/>
    <w:rPr>
      <w:rFonts w:ascii="Times New Roman" w:eastAsia="Times New Roman" w:hAnsi="Times New Roman"/>
    </w:rPr>
  </w:style>
  <w:style w:type="character" w:customStyle="1" w:styleId="Char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3"/>
    <w:rsid w:val="00320F53"/>
    <w:rPr>
      <w:rFonts w:ascii="Times New Roman" w:eastAsia="Times New Roman" w:hAnsi="Times New Roman"/>
      <w:b/>
      <w:bCs/>
      <w:lang w:val="en-US"/>
    </w:rPr>
  </w:style>
  <w:style w:type="character" w:customStyle="1" w:styleId="B1Char">
    <w:name w:val="B1 Char"/>
    <w:link w:val="B1"/>
    <w:qFormat/>
    <w:rsid w:val="009F0B81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9F0B81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Huawei</cp:lastModifiedBy>
  <cp:revision>4</cp:revision>
  <dcterms:created xsi:type="dcterms:W3CDTF">2024-04-18T09:20:00Z</dcterms:created>
  <dcterms:modified xsi:type="dcterms:W3CDTF">2024-04-18T09:20:00Z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(3)ld8v9jN3aquStJKwEviyVcRv70wPeVj6bpcnJLjX/0SPwR6W3/xDETEtpZYBWzJnGeab3fJ/
t8hEOe9cKhxwWYHlBB3Mbpvl1xV8cpmMYgTmh2POY5rg+sDITWGL77wQDaww4SthQCHVAGfz
Yg+PolUYMh8OgfnIuBuU16NGue3efEaAJZAITU08Vy2CwTmFnP4A1K9WE6Y6we3QfHvBRYln
FWLN+pg2It63vOFDmC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BbE5HwLKq8sBHYa9CG7JnMA5rvp2lqhXQ7PuU84D/KnQe7zv4pOFMz
NWHyj6oHWo4hKLBJRiEaClFrWfJQ7v9Z3G9HiK3NoxW4xwOGf3ikdi9c6hiWKwNca813pWjL
grn10gWmMVlm3R+xEnt8qd+mBte/Zgw4eSk1zy3a880IRlSsNR4TDlbCEQk+S7UKEeyUenVa
qOxdQjDDGNkPT8PY/BHzBziRRAlk2nYqcy5Q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tA==</vt:lpwstr>
  </property>
  <property fmtid="{D5CDD505-2E9C-101B-9397-08002B2CF9AE}" pid="14" name="GrammarlyDocumentId">
    <vt:lpwstr>23ec0dafffbc493f8538aab83e3abd913aa1e3ae90d063cd062de85d3fbaf9aa</vt:lpwstr>
  </property>
</Properties>
</file>